
<file path=[Content_Types].xml><?xml version="1.0" encoding="utf-8"?>
<Types xmlns="http://schemas.openxmlformats.org/package/2006/content-types">
  <Default Extension="png" ContentType="image/png"/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87B171">
      <w:pPr>
        <w:pStyle w:val="6"/>
        <w:spacing w:before="0" w:line="600" w:lineRule="exact"/>
        <w:ind w:left="0" w:right="0"/>
        <w:rPr>
          <w:rFonts w:hint="eastAsia" w:ascii="方正小标宋_GBK" w:eastAsia="方正小标宋_GBK"/>
          <w:b/>
          <w:bCs/>
          <w:sz w:val="40"/>
          <w:szCs w:val="40"/>
        </w:rPr>
      </w:pPr>
      <w:r>
        <w:rPr>
          <w:rFonts w:hint="eastAsia" w:ascii="方正小标宋_GBK" w:eastAsia="方正小标宋_GBK"/>
          <w:b/>
          <w:bCs/>
          <w:sz w:val="40"/>
          <w:szCs w:val="40"/>
        </w:rPr>
        <w:t>202</w:t>
      </w:r>
      <w:r>
        <w:rPr>
          <w:rFonts w:hint="eastAsia" w:ascii="方正小标宋_GBK" w:eastAsia="方正小标宋_GBK"/>
          <w:b/>
          <w:bCs/>
          <w:sz w:val="40"/>
          <w:szCs w:val="40"/>
          <w:lang w:val="en-US" w:eastAsia="zh-CN"/>
        </w:rPr>
        <w:t>5</w:t>
      </w:r>
      <w:r>
        <w:rPr>
          <w:rFonts w:hint="eastAsia" w:ascii="方正小标宋_GBK" w:eastAsia="方正小标宋_GBK"/>
          <w:b/>
          <w:bCs/>
          <w:sz w:val="40"/>
          <w:szCs w:val="40"/>
        </w:rPr>
        <w:t>年秋期长江师范学院</w:t>
      </w:r>
    </w:p>
    <w:p w14:paraId="16B46ABE">
      <w:pPr>
        <w:pStyle w:val="6"/>
        <w:spacing w:before="0" w:line="600" w:lineRule="exact"/>
        <w:ind w:left="0" w:right="0"/>
        <w:rPr>
          <w:rFonts w:ascii="方正小标宋_GBK" w:eastAsia="方正小标宋_GBK"/>
          <w:b/>
          <w:bCs/>
          <w:sz w:val="40"/>
          <w:szCs w:val="40"/>
        </w:rPr>
      </w:pPr>
      <w:r>
        <w:rPr>
          <w:rFonts w:hint="eastAsia" w:ascii="方正小标宋_GBK" w:eastAsia="方正小标宋_GBK"/>
          <w:b/>
          <w:bCs/>
          <w:sz w:val="40"/>
          <w:szCs w:val="40"/>
        </w:rPr>
        <w:t>鸿蒙智能传感系统微专业</w:t>
      </w:r>
      <w:r>
        <w:rPr>
          <w:rFonts w:hint="eastAsia" w:ascii="方正小标宋_GBK" w:eastAsia="方正小标宋_GBK"/>
          <w:b/>
          <w:bCs/>
          <w:sz w:val="40"/>
          <w:szCs w:val="40"/>
        </w:rPr>
        <w:br w:type="textWrapping"/>
      </w:r>
      <w:r>
        <w:rPr>
          <w:rFonts w:hint="eastAsia" w:ascii="方正小标宋_GBK" w:eastAsia="方正小标宋_GBK"/>
          <w:b/>
          <w:bCs/>
          <w:sz w:val="40"/>
          <w:szCs w:val="40"/>
        </w:rPr>
        <w:t>招生简章</w:t>
      </w:r>
    </w:p>
    <w:p w14:paraId="45370C37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jc w:val="both"/>
        <w:textAlignment w:val="auto"/>
        <w:rPr>
          <w:rFonts w:hint="eastAsia" w:ascii="方正黑体_GBK" w:hAnsi="方正黑体_GBK" w:eastAsia="方正黑体_GBK" w:cs="方正黑体_GBK"/>
          <w:w w:val="95"/>
          <w:sz w:val="30"/>
          <w:szCs w:val="30"/>
        </w:rPr>
      </w:pPr>
    </w:p>
    <w:p w14:paraId="4DE14E76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ind w:left="0" w:leftChars="0" w:firstLine="572" w:firstLineChars="200"/>
        <w:jc w:val="both"/>
        <w:textAlignment w:val="auto"/>
        <w:rPr>
          <w:rFonts w:hint="eastAsia" w:ascii="方正黑体_GBK" w:hAnsi="方正黑体_GBK" w:eastAsia="方正黑体_GBK" w:cs="方正黑体_GBK"/>
          <w:sz w:val="30"/>
          <w:szCs w:val="30"/>
        </w:rPr>
      </w:pPr>
      <w:r>
        <w:rPr>
          <w:rFonts w:hint="eastAsia" w:ascii="方正黑体_GBK" w:hAnsi="方正黑体_GBK" w:eastAsia="方正黑体_GBK" w:cs="方正黑体_GBK"/>
          <w:w w:val="95"/>
          <w:sz w:val="30"/>
          <w:szCs w:val="30"/>
        </w:rPr>
        <w:t>一、微</w:t>
      </w:r>
      <w:r>
        <w:rPr>
          <w:rFonts w:hint="eastAsia" w:ascii="方正黑体_GBK" w:hAnsi="方正黑体_GBK" w:eastAsia="方正黑体_GBK" w:cs="方正黑体_GBK"/>
          <w:spacing w:val="-3"/>
          <w:w w:val="95"/>
          <w:sz w:val="30"/>
          <w:szCs w:val="30"/>
        </w:rPr>
        <w:t>专业介绍</w:t>
      </w:r>
    </w:p>
    <w:p w14:paraId="0E1005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ind w:firstLine="592" w:firstLineChars="200"/>
        <w:jc w:val="both"/>
        <w:textAlignment w:val="auto"/>
        <w:rPr>
          <w:rFonts w:hint="eastAsia" w:ascii="Times New Roman" w:hAnsi="Times New Roman"/>
          <w:spacing w:val="-2"/>
          <w:sz w:val="24"/>
          <w:szCs w:val="24"/>
        </w:rPr>
      </w:pPr>
      <w:r>
        <w:rPr>
          <w:rFonts w:hint="eastAsia" w:ascii="方正仿宋_GBK" w:hAnsi="方正仿宋_GBK" w:eastAsia="方正仿宋_GBK" w:cs="方正仿宋_GBK"/>
          <w:spacing w:val="-2"/>
          <w:sz w:val="30"/>
          <w:szCs w:val="30"/>
        </w:rPr>
        <w:t xml:space="preserve">智能传感技术是当今科技发展的前沿领域之一，在工业、农业、医疗、交通、环保等领域都有广泛的应用。鸿蒙智能传感系统微专业融合了电子信息、人工智能、计算机、物联网技术等多个学科的知识。本专业依托重庆市ICT产业学院、华为ICT学院，产学研用深度融合，获批智能感知技术与大数据应用重庆市高校黄大年式教学团队，建设有教育部信息与通信技术（ICT）产教融合创新实践基地、重庆市实验教学示范中心、光芯片与智能光电系统重点实验室、华为5G+AI实训平台等实践和研究平台。本专业以工程应用为导向，以服务企业的优秀人才培养为目标，以职业素养、职业能力培养为中心，与中国科学院深圳先进技术研究院、珠海迈时光电有限公司等多家企业和研究所合作，采用共同制定培养方案、共同开发课程体系、共建师资团队、共同开展实践教学的“四共同”育人模式，培养具备鸿蒙智能系统应用开发能力，能胜任鸿蒙智能传感系统相关的产品开发、设备维护、技术支持等工作的应用型高级人才。 </w:t>
      </w:r>
    </w:p>
    <w:p w14:paraId="0DFD35D7">
      <w:pPr>
        <w:spacing w:line="360" w:lineRule="auto"/>
        <w:ind w:firstLine="472" w:firstLineChars="200"/>
        <w:jc w:val="center"/>
        <w:rPr>
          <w:rFonts w:hint="eastAsia" w:ascii="Times New Roman" w:hAnsi="Times New Roman"/>
          <w:spacing w:val="-2"/>
          <w:sz w:val="24"/>
          <w:szCs w:val="24"/>
        </w:rPr>
      </w:pPr>
    </w:p>
    <w:p w14:paraId="578BF08A">
      <w:pPr>
        <w:spacing w:line="360" w:lineRule="auto"/>
        <w:ind w:firstLine="440" w:firstLineChars="200"/>
        <w:jc w:val="center"/>
        <w:rPr>
          <w:sz w:val="24"/>
          <w:szCs w:val="24"/>
        </w:rPr>
      </w:pPr>
      <w:r>
        <w:drawing>
          <wp:inline distT="0" distB="0" distL="114300" distR="114300">
            <wp:extent cx="1871980" cy="1336675"/>
            <wp:effectExtent l="0" t="0" r="0" b="0"/>
            <wp:docPr id="7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872000" cy="13372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1799590" cy="1333500"/>
            <wp:effectExtent l="0" t="0" r="10160" b="0"/>
            <wp:docPr id="8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801428" cy="13353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0" distR="0">
            <wp:extent cx="1557655" cy="1256030"/>
            <wp:effectExtent l="28575" t="28575" r="33020" b="2984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57655" cy="1256030"/>
                    </a:xfrm>
                    <a:prstGeom prst="rect">
                      <a:avLst/>
                    </a:prstGeom>
                    <a:noFill/>
                    <a:ln w="28575">
                      <a:solidFill>
                        <a:schemeClr val="accent6">
                          <a:lumMod val="50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p w14:paraId="2E97B8A6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ind w:left="0" w:leftChars="0" w:firstLine="572" w:firstLineChars="200"/>
        <w:jc w:val="both"/>
        <w:textAlignment w:val="auto"/>
        <w:rPr>
          <w:rFonts w:hint="eastAsia" w:ascii="方正黑体_GBK" w:hAnsi="方正黑体_GBK" w:eastAsia="方正黑体_GBK" w:cs="方正黑体_GBK"/>
          <w:w w:val="95"/>
          <w:sz w:val="30"/>
          <w:szCs w:val="30"/>
        </w:rPr>
      </w:pPr>
      <w:r>
        <w:rPr>
          <w:rFonts w:hint="eastAsia" w:ascii="方正黑体_GBK" w:hAnsi="方正黑体_GBK" w:eastAsia="方正黑体_GBK" w:cs="方正黑体_GBK"/>
          <w:w w:val="95"/>
          <w:sz w:val="30"/>
          <w:szCs w:val="30"/>
        </w:rPr>
        <w:t>二、培养目标</w:t>
      </w:r>
    </w:p>
    <w:p w14:paraId="0D937BF8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ind w:right="366" w:firstLine="592" w:firstLineChars="200"/>
        <w:jc w:val="both"/>
        <w:textAlignment w:val="auto"/>
        <w:rPr>
          <w:rFonts w:hint="eastAsia" w:ascii="方正仿宋_GBK" w:hAnsi="方正仿宋_GBK" w:eastAsia="方正仿宋_GBK" w:cs="方正仿宋_GBK"/>
          <w:spacing w:val="-2"/>
          <w:sz w:val="30"/>
          <w:szCs w:val="30"/>
          <w:lang w:val="en-US" w:eastAsia="zh-CN" w:bidi="ar-SA"/>
        </w:rPr>
      </w:pPr>
      <w:r>
        <w:rPr>
          <w:rFonts w:hint="eastAsia" w:ascii="方正仿宋_GBK" w:hAnsi="方正仿宋_GBK" w:eastAsia="方正仿宋_GBK" w:cs="方正仿宋_GBK"/>
          <w:spacing w:val="-2"/>
          <w:sz w:val="30"/>
          <w:szCs w:val="30"/>
          <w:lang w:val="en-US" w:eastAsia="zh-CN" w:bidi="ar-SA"/>
        </w:rPr>
        <w:t>面向华为鸿蒙生态产业链人才需求，培养掌握传感器原理与技术、信号处理、鸿蒙智能系统的基本理论，具备鸿蒙智能系统应用开发能力，能胜任鸿蒙智能传感系统相关的产品开发、设备维护、技术支持等工作的应用型高级人才。</w:t>
      </w:r>
    </w:p>
    <w:p w14:paraId="6E078D64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ind w:left="0" w:leftChars="0" w:firstLine="572" w:firstLineChars="200"/>
        <w:jc w:val="both"/>
        <w:textAlignment w:val="auto"/>
        <w:rPr>
          <w:rFonts w:hint="eastAsia" w:ascii="方正黑体_GBK" w:hAnsi="方正黑体_GBK" w:eastAsia="方正黑体_GBK" w:cs="方正黑体_GBK"/>
          <w:w w:val="95"/>
          <w:sz w:val="30"/>
          <w:szCs w:val="30"/>
        </w:rPr>
      </w:pPr>
      <w:r>
        <w:rPr>
          <w:rFonts w:hint="eastAsia" w:ascii="方正黑体_GBK" w:hAnsi="方正黑体_GBK" w:eastAsia="方正黑体_GBK" w:cs="方正黑体_GBK"/>
          <w:w w:val="95"/>
          <w:sz w:val="30"/>
          <w:szCs w:val="30"/>
        </w:rPr>
        <w:t>三、就业方向</w:t>
      </w:r>
    </w:p>
    <w:p w14:paraId="32C82D4A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ind w:right="366" w:firstLine="592" w:firstLineChars="200"/>
        <w:jc w:val="both"/>
        <w:textAlignment w:val="auto"/>
        <w:rPr>
          <w:rFonts w:hint="eastAsia" w:ascii="方正仿宋_GBK" w:hAnsi="方正仿宋_GBK" w:eastAsia="方正仿宋_GBK" w:cs="方正仿宋_GBK"/>
          <w:spacing w:val="-2"/>
          <w:sz w:val="30"/>
          <w:szCs w:val="30"/>
          <w:lang w:val="en-US" w:eastAsia="zh-CN" w:bidi="ar-SA"/>
        </w:rPr>
      </w:pPr>
      <w:r>
        <w:rPr>
          <w:rFonts w:hint="eastAsia" w:ascii="方正仿宋_GBK" w:hAnsi="方正仿宋_GBK" w:eastAsia="方正仿宋_GBK" w:cs="方正仿宋_GBK"/>
          <w:spacing w:val="-2"/>
          <w:sz w:val="30"/>
          <w:szCs w:val="30"/>
          <w:lang w:val="en-US" w:eastAsia="zh-CN" w:bidi="ar-SA"/>
        </w:rPr>
        <w:t>经过鸿蒙智能传感系统微专业课程学习后，可参加华为人工智能、物联网、鸿蒙系统等方面的中、高级工程师级别的职业认证，从事华为鸿蒙生态产业链及行业其他各类大中型企业的软件工程师、硬件工程师、AI工程师、产品经理等工作。</w:t>
      </w:r>
    </w:p>
    <w:p w14:paraId="447E4261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ind w:left="0" w:leftChars="0" w:firstLine="572" w:firstLineChars="200"/>
        <w:jc w:val="both"/>
        <w:textAlignment w:val="auto"/>
        <w:rPr>
          <w:rFonts w:hint="eastAsia" w:ascii="方正黑体_GBK" w:hAnsi="方正黑体_GBK" w:eastAsia="方正黑体_GBK" w:cs="方正黑体_GBK"/>
          <w:w w:val="95"/>
          <w:sz w:val="30"/>
          <w:szCs w:val="30"/>
        </w:rPr>
      </w:pPr>
      <w:r>
        <w:rPr>
          <w:rFonts w:hint="eastAsia" w:ascii="方正黑体_GBK" w:hAnsi="方正黑体_GBK" w:eastAsia="方正黑体_GBK" w:cs="方正黑体_GBK"/>
          <w:w w:val="95"/>
          <w:sz w:val="30"/>
          <w:szCs w:val="30"/>
        </w:rPr>
        <w:t>四、招生对象及条件</w:t>
      </w:r>
    </w:p>
    <w:p w14:paraId="3AC55C8E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ind w:right="366" w:firstLine="592" w:firstLineChars="200"/>
        <w:jc w:val="both"/>
        <w:textAlignment w:val="auto"/>
        <w:rPr>
          <w:rFonts w:hint="eastAsia" w:ascii="方正仿宋_GBK" w:hAnsi="方正仿宋_GBK" w:eastAsia="方正仿宋_GBK" w:cs="方正仿宋_GBK"/>
          <w:spacing w:val="-2"/>
          <w:sz w:val="30"/>
          <w:szCs w:val="30"/>
          <w:lang w:val="en-US" w:eastAsia="zh-CN" w:bidi="ar-SA"/>
        </w:rPr>
      </w:pPr>
      <w:r>
        <w:rPr>
          <w:rFonts w:hint="eastAsia" w:ascii="方正仿宋_GBK" w:hAnsi="方正仿宋_GBK" w:eastAsia="方正仿宋_GBK" w:cs="方正仿宋_GBK"/>
          <w:spacing w:val="-2"/>
          <w:sz w:val="30"/>
          <w:szCs w:val="30"/>
          <w:lang w:val="en-US" w:eastAsia="zh-CN" w:bidi="ar-SA"/>
        </w:rPr>
        <w:t>（1）招生年级：本校2023、2024级全日制在校本科生。</w:t>
      </w:r>
    </w:p>
    <w:p w14:paraId="407C7AD8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ind w:right="366" w:firstLine="592" w:firstLineChars="200"/>
        <w:jc w:val="both"/>
        <w:textAlignment w:val="auto"/>
        <w:rPr>
          <w:rFonts w:hint="eastAsia" w:ascii="方正仿宋_GBK" w:hAnsi="方正仿宋_GBK" w:eastAsia="方正仿宋_GBK" w:cs="方正仿宋_GBK"/>
          <w:spacing w:val="-2"/>
          <w:sz w:val="30"/>
          <w:szCs w:val="30"/>
          <w:lang w:val="en-US" w:eastAsia="zh-CN" w:bidi="ar-SA"/>
        </w:rPr>
      </w:pPr>
      <w:r>
        <w:rPr>
          <w:rFonts w:hint="eastAsia" w:ascii="方正仿宋_GBK" w:hAnsi="方正仿宋_GBK" w:eastAsia="方正仿宋_GBK" w:cs="方正仿宋_GBK"/>
          <w:spacing w:val="-2"/>
          <w:sz w:val="30"/>
          <w:szCs w:val="30"/>
          <w:lang w:val="en-US" w:eastAsia="zh-CN" w:bidi="ar-SA"/>
        </w:rPr>
        <w:t>（2）专业要求：电子信息类、计算机类、机械类、环境科学与工程类、物理学、食品科学与工程等专业（含对口、专升本、专本贯通）。</w:t>
      </w:r>
    </w:p>
    <w:p w14:paraId="02818059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ind w:right="366" w:firstLine="592" w:firstLineChars="200"/>
        <w:jc w:val="both"/>
        <w:textAlignment w:val="auto"/>
        <w:rPr>
          <w:rFonts w:hint="eastAsia" w:ascii="方正仿宋_GBK" w:hAnsi="方正仿宋_GBK" w:eastAsia="方正仿宋_GBK" w:cs="方正仿宋_GBK"/>
          <w:spacing w:val="-2"/>
          <w:sz w:val="30"/>
          <w:szCs w:val="30"/>
          <w:lang w:val="en-US" w:eastAsia="zh-CN" w:bidi="ar-SA"/>
        </w:rPr>
      </w:pPr>
      <w:r>
        <w:rPr>
          <w:rFonts w:hint="eastAsia" w:ascii="方正仿宋_GBK" w:hAnsi="方正仿宋_GBK" w:eastAsia="方正仿宋_GBK" w:cs="方正仿宋_GBK"/>
          <w:spacing w:val="-2"/>
          <w:sz w:val="30"/>
          <w:szCs w:val="30"/>
          <w:lang w:val="en-US" w:eastAsia="zh-CN" w:bidi="ar-SA"/>
        </w:rPr>
        <w:t>（3）计划招生人数：30人。</w:t>
      </w:r>
    </w:p>
    <w:p w14:paraId="3D257B92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ind w:left="0" w:leftChars="0" w:firstLine="572" w:firstLineChars="200"/>
        <w:jc w:val="both"/>
        <w:textAlignment w:val="auto"/>
        <w:rPr>
          <w:rFonts w:hint="eastAsia" w:ascii="方正黑体_GBK" w:hAnsi="方正黑体_GBK" w:eastAsia="方正黑体_GBK" w:cs="方正黑体_GBK"/>
          <w:w w:val="95"/>
          <w:sz w:val="30"/>
          <w:szCs w:val="30"/>
        </w:rPr>
      </w:pPr>
      <w:r>
        <w:rPr>
          <w:rFonts w:hint="eastAsia" w:ascii="方正黑体_GBK" w:hAnsi="方正黑体_GBK" w:eastAsia="方正黑体_GBK" w:cs="方正黑体_GBK"/>
          <w:w w:val="95"/>
          <w:sz w:val="30"/>
          <w:szCs w:val="30"/>
        </w:rPr>
        <w:t>五、学制学分与证书</w:t>
      </w:r>
    </w:p>
    <w:p w14:paraId="62027472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ind w:right="366" w:firstLine="592" w:firstLineChars="200"/>
        <w:jc w:val="both"/>
        <w:textAlignment w:val="auto"/>
        <w:rPr>
          <w:rFonts w:hint="eastAsia" w:ascii="方正仿宋_GBK" w:hAnsi="方正仿宋_GBK" w:eastAsia="方正仿宋_GBK" w:cs="方正仿宋_GBK"/>
          <w:spacing w:val="-2"/>
          <w:sz w:val="30"/>
          <w:szCs w:val="30"/>
          <w:lang w:val="en-US" w:eastAsia="zh-CN" w:bidi="ar-SA"/>
        </w:rPr>
      </w:pPr>
      <w:r>
        <w:rPr>
          <w:rFonts w:hint="eastAsia" w:ascii="方正仿宋_GBK" w:hAnsi="方正仿宋_GBK" w:eastAsia="方正仿宋_GBK" w:cs="方正仿宋_GBK"/>
          <w:spacing w:val="-2"/>
          <w:sz w:val="30"/>
          <w:szCs w:val="30"/>
          <w:lang w:val="en-US" w:eastAsia="zh-CN" w:bidi="ar-SA"/>
        </w:rPr>
        <w:t>（1）学制：1学年（2学期）。</w:t>
      </w:r>
    </w:p>
    <w:p w14:paraId="133A132E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ind w:right="366" w:firstLine="592" w:firstLineChars="200"/>
        <w:jc w:val="both"/>
        <w:textAlignment w:val="auto"/>
        <w:rPr>
          <w:rFonts w:hint="eastAsia" w:ascii="方正仿宋_GBK" w:hAnsi="方正仿宋_GBK" w:eastAsia="方正仿宋_GBK" w:cs="方正仿宋_GBK"/>
          <w:spacing w:val="-2"/>
          <w:sz w:val="30"/>
          <w:szCs w:val="30"/>
          <w:lang w:val="en-US" w:eastAsia="zh-CN" w:bidi="ar-SA"/>
        </w:rPr>
      </w:pPr>
      <w:r>
        <w:rPr>
          <w:rFonts w:hint="eastAsia" w:ascii="方正仿宋_GBK" w:hAnsi="方正仿宋_GBK" w:eastAsia="方正仿宋_GBK" w:cs="方正仿宋_GBK"/>
          <w:spacing w:val="-2"/>
          <w:sz w:val="30"/>
          <w:szCs w:val="30"/>
          <w:lang w:val="en-US" w:eastAsia="zh-CN" w:bidi="ar-SA"/>
        </w:rPr>
        <w:t>（2）学分：11学分。</w:t>
      </w:r>
    </w:p>
    <w:p w14:paraId="35FE966A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ind w:right="366" w:firstLine="592" w:firstLineChars="200"/>
        <w:jc w:val="both"/>
        <w:textAlignment w:val="auto"/>
        <w:rPr>
          <w:rFonts w:hint="eastAsia" w:ascii="方正仿宋_GBK" w:hAnsi="方正仿宋_GBK" w:eastAsia="方正仿宋_GBK" w:cs="方正仿宋_GBK"/>
          <w:spacing w:val="-2"/>
          <w:sz w:val="30"/>
          <w:szCs w:val="30"/>
          <w:lang w:val="en-US" w:eastAsia="zh-CN" w:bidi="ar-SA"/>
        </w:rPr>
      </w:pPr>
      <w:r>
        <w:rPr>
          <w:rFonts w:hint="eastAsia" w:ascii="方正仿宋_GBK" w:hAnsi="方正仿宋_GBK" w:eastAsia="方正仿宋_GBK" w:cs="方正仿宋_GBK"/>
          <w:spacing w:val="-2"/>
          <w:sz w:val="30"/>
          <w:szCs w:val="30"/>
          <w:lang w:val="en-US" w:eastAsia="zh-CN" w:bidi="ar-SA"/>
        </w:rPr>
        <w:t>（3）证书：修满11学分，由教务处颁发鸿蒙智能传感系统微专业证书；推荐华为HarmonyOS应用开发者基础认证（免费）；鼓励华为中、高级职业认证（华为官方收费）。</w:t>
      </w:r>
    </w:p>
    <w:p w14:paraId="02DD3E06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ind w:left="0" w:leftChars="0" w:firstLine="572" w:firstLineChars="200"/>
        <w:jc w:val="both"/>
        <w:textAlignment w:val="auto"/>
        <w:rPr>
          <w:rFonts w:hint="eastAsia" w:ascii="方正黑体_GBK" w:hAnsi="方正黑体_GBK" w:eastAsia="方正黑体_GBK" w:cs="方正黑体_GBK"/>
          <w:w w:val="95"/>
          <w:sz w:val="30"/>
          <w:szCs w:val="30"/>
        </w:rPr>
      </w:pPr>
      <w:r>
        <w:rPr>
          <w:rFonts w:hint="eastAsia" w:ascii="方正黑体_GBK" w:hAnsi="方正黑体_GBK" w:eastAsia="方正黑体_GBK" w:cs="方正黑体_GBK"/>
          <w:w w:val="95"/>
          <w:sz w:val="30"/>
          <w:szCs w:val="30"/>
        </w:rPr>
        <w:t>六、授课方式</w:t>
      </w:r>
      <w:bookmarkStart w:id="0" w:name="_GoBack"/>
      <w:bookmarkEnd w:id="0"/>
    </w:p>
    <w:p w14:paraId="7CA113AA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ind w:right="366" w:firstLine="592" w:firstLineChars="200"/>
        <w:jc w:val="both"/>
        <w:textAlignment w:val="auto"/>
        <w:rPr>
          <w:rFonts w:hint="eastAsia" w:ascii="方正仿宋_GBK" w:hAnsi="方正仿宋_GBK" w:eastAsia="方正仿宋_GBK" w:cs="方正仿宋_GBK"/>
          <w:spacing w:val="-2"/>
          <w:sz w:val="30"/>
          <w:szCs w:val="30"/>
          <w:lang w:val="en-US" w:eastAsia="zh-CN" w:bidi="ar-SA"/>
        </w:rPr>
      </w:pPr>
      <w:r>
        <w:rPr>
          <w:rFonts w:hint="eastAsia" w:ascii="方正仿宋_GBK" w:hAnsi="方正仿宋_GBK" w:eastAsia="方正仿宋_GBK" w:cs="方正仿宋_GBK"/>
          <w:spacing w:val="-2"/>
          <w:sz w:val="30"/>
          <w:szCs w:val="30"/>
          <w:lang w:val="en-US" w:eastAsia="zh-CN" w:bidi="ar-SA"/>
        </w:rPr>
        <w:t>本微专业独立开班，周一-周五晚上+周六、日上课，具体以课表为准。</w:t>
      </w:r>
    </w:p>
    <w:p w14:paraId="4A7C5666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ind w:left="0" w:leftChars="0" w:firstLine="572" w:firstLineChars="200"/>
        <w:jc w:val="both"/>
        <w:textAlignment w:val="auto"/>
        <w:rPr>
          <w:rFonts w:hint="eastAsia" w:ascii="方正黑体_GBK" w:hAnsi="方正黑体_GBK" w:eastAsia="方正黑体_GBK" w:cs="方正黑体_GBK"/>
          <w:w w:val="95"/>
          <w:sz w:val="30"/>
          <w:szCs w:val="30"/>
        </w:rPr>
      </w:pPr>
      <w:r>
        <w:rPr>
          <w:rFonts w:hint="eastAsia" w:ascii="方正黑体_GBK" w:hAnsi="方正黑体_GBK" w:eastAsia="方正黑体_GBK" w:cs="方正黑体_GBK"/>
          <w:w w:val="95"/>
          <w:sz w:val="30"/>
          <w:szCs w:val="30"/>
        </w:rPr>
        <w:t>七、报名与学费</w:t>
      </w:r>
    </w:p>
    <w:p w14:paraId="1F0B585B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ind w:right="366" w:firstLine="592" w:firstLineChars="200"/>
        <w:jc w:val="both"/>
        <w:textAlignment w:val="auto"/>
        <w:rPr>
          <w:rFonts w:hint="eastAsia" w:ascii="方正仿宋_GBK" w:hAnsi="方正仿宋_GBK" w:eastAsia="方正仿宋_GBK" w:cs="方正仿宋_GBK"/>
          <w:spacing w:val="-2"/>
          <w:sz w:val="30"/>
          <w:szCs w:val="30"/>
          <w:lang w:val="en-US" w:eastAsia="zh-CN" w:bidi="ar-SA"/>
        </w:rPr>
      </w:pPr>
      <w:r>
        <w:rPr>
          <w:rFonts w:hint="eastAsia" w:ascii="方正仿宋_GBK" w:hAnsi="方正仿宋_GBK" w:eastAsia="方正仿宋_GBK" w:cs="方正仿宋_GBK"/>
          <w:spacing w:val="-2"/>
          <w:sz w:val="30"/>
          <w:szCs w:val="30"/>
          <w:lang w:val="en-US" w:eastAsia="zh-CN" w:bidi="ar-SA"/>
        </w:rPr>
        <w:t>（1）报名方式：2025年9月15日18：00之前，符合报名条件的同学加入下方QQ群，填写在线报名表。</w:t>
      </w:r>
    </w:p>
    <w:p w14:paraId="1149519C">
      <w:pPr>
        <w:widowControl/>
        <w:autoSpaceDE/>
        <w:autoSpaceDN/>
        <w:jc w:val="center"/>
        <w:rPr>
          <w:sz w:val="24"/>
          <w:szCs w:val="24"/>
        </w:rPr>
      </w:pPr>
      <w:r>
        <w:rPr>
          <w:sz w:val="24"/>
          <w:szCs w:val="24"/>
        </w:rPr>
        <w:drawing>
          <wp:inline distT="0" distB="0" distL="0" distR="0">
            <wp:extent cx="1756410" cy="2136140"/>
            <wp:effectExtent l="0" t="0" r="0" b="0"/>
            <wp:docPr id="4" name="图片 4" descr="C:\Users\杜得荣\AppData\Roaming\Tencent\Users\609103791\QQ\WinTemp\RichOle\5YIYJWI([QLSEX`CCD4CALU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C:\Users\杜得荣\AppData\Roaming\Tencent\Users\609103791\QQ\WinTemp\RichOle\5YIYJWI([QLSEX`CCD4CALU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767338" cy="21488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CC8A24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ind w:right="366" w:firstLine="592" w:firstLineChars="200"/>
        <w:jc w:val="both"/>
        <w:textAlignment w:val="auto"/>
        <w:rPr>
          <w:rFonts w:hint="eastAsia" w:ascii="方正仿宋_GBK" w:hAnsi="方正仿宋_GBK" w:eastAsia="方正仿宋_GBK" w:cs="方正仿宋_GBK"/>
          <w:spacing w:val="-2"/>
          <w:sz w:val="30"/>
          <w:szCs w:val="30"/>
          <w:lang w:val="en-US" w:eastAsia="zh-CN" w:bidi="ar-SA"/>
        </w:rPr>
      </w:pPr>
      <w:r>
        <w:rPr>
          <w:rFonts w:hint="eastAsia" w:ascii="方正仿宋_GBK" w:hAnsi="方正仿宋_GBK" w:eastAsia="方正仿宋_GBK" w:cs="方正仿宋_GBK"/>
          <w:spacing w:val="-2"/>
          <w:sz w:val="30"/>
          <w:szCs w:val="30"/>
          <w:lang w:val="en-US" w:eastAsia="zh-CN" w:bidi="ar-SA"/>
        </w:rPr>
        <w:t>（2）咨询方式：QQ群在线咨询，或电话咨询13308314831（杜老师）。</w:t>
      </w:r>
    </w:p>
    <w:p w14:paraId="75DC50F4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ind w:right="366" w:firstLine="592" w:firstLineChars="200"/>
        <w:jc w:val="both"/>
        <w:textAlignment w:val="auto"/>
        <w:rPr>
          <w:rFonts w:hint="eastAsia" w:ascii="方正仿宋_GBK" w:hAnsi="方正仿宋_GBK" w:eastAsia="方正仿宋_GBK" w:cs="方正仿宋_GBK"/>
          <w:spacing w:val="-2"/>
          <w:sz w:val="30"/>
          <w:szCs w:val="30"/>
          <w:lang w:val="en-US" w:eastAsia="zh-CN" w:bidi="ar-SA"/>
        </w:rPr>
      </w:pPr>
      <w:r>
        <w:rPr>
          <w:rFonts w:hint="eastAsia" w:ascii="方正仿宋_GBK" w:hAnsi="方正仿宋_GBK" w:eastAsia="方正仿宋_GBK" w:cs="方正仿宋_GBK"/>
          <w:spacing w:val="-2"/>
          <w:sz w:val="30"/>
          <w:szCs w:val="30"/>
          <w:lang w:val="en-US" w:eastAsia="zh-CN" w:bidi="ar-SA"/>
        </w:rPr>
        <w:t>（3）学费：按学分收取学费，收费标准按重庆市物价局核定标准和学校统一安排执行，每学分70元。学生按学期缴纳微专业的修读学分学费。</w:t>
      </w:r>
    </w:p>
    <w:p w14:paraId="201AA497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ind w:left="0" w:leftChars="0" w:firstLine="572" w:firstLineChars="200"/>
        <w:jc w:val="both"/>
        <w:textAlignment w:val="auto"/>
        <w:rPr>
          <w:rFonts w:hint="eastAsia" w:ascii="方正黑体_GBK" w:hAnsi="方正黑体_GBK" w:eastAsia="方正黑体_GBK" w:cs="方正黑体_GBK"/>
          <w:w w:val="95"/>
          <w:sz w:val="30"/>
          <w:szCs w:val="30"/>
        </w:rPr>
      </w:pPr>
      <w:r>
        <w:rPr>
          <w:rFonts w:hint="eastAsia" w:ascii="方正黑体_GBK" w:hAnsi="方正黑体_GBK" w:eastAsia="方正黑体_GBK" w:cs="方正黑体_GBK"/>
          <w:w w:val="95"/>
          <w:sz w:val="30"/>
          <w:szCs w:val="30"/>
        </w:rPr>
        <w:t>八、课程设置及学时分配表</w:t>
      </w:r>
    </w:p>
    <w:p w14:paraId="392909C0">
      <w:pPr>
        <w:pStyle w:val="3"/>
        <w:spacing w:before="10"/>
        <w:rPr>
          <w:rFonts w:ascii="黑体"/>
          <w:b/>
          <w:sz w:val="15"/>
        </w:rPr>
      </w:pP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57" w:type="dxa"/>
          <w:bottom w:w="0" w:type="dxa"/>
          <w:right w:w="57" w:type="dxa"/>
        </w:tblCellMar>
      </w:tblPr>
      <w:tblGrid>
        <w:gridCol w:w="459"/>
        <w:gridCol w:w="2859"/>
        <w:gridCol w:w="425"/>
        <w:gridCol w:w="1134"/>
        <w:gridCol w:w="850"/>
        <w:gridCol w:w="567"/>
        <w:gridCol w:w="709"/>
        <w:gridCol w:w="658"/>
        <w:gridCol w:w="735"/>
        <w:gridCol w:w="708"/>
      </w:tblGrid>
      <w:tr w14:paraId="1DDEA0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77" w:hRule="atLeast"/>
          <w:jc w:val="center"/>
        </w:trPr>
        <w:tc>
          <w:tcPr>
            <w:tcW w:w="0" w:type="auto"/>
            <w:vMerge w:val="restart"/>
            <w:vAlign w:val="center"/>
          </w:tcPr>
          <w:p w14:paraId="7667DCDE">
            <w:pPr>
              <w:adjustRightInd w:val="0"/>
              <w:snapToGrid w:val="0"/>
              <w:jc w:val="center"/>
              <w:rPr>
                <w:b/>
                <w:bCs/>
                <w:color w:val="000000"/>
                <w:szCs w:val="21"/>
              </w:rPr>
            </w:pPr>
            <w:r>
              <w:rPr>
                <w:b/>
                <w:bCs/>
                <w:color w:val="000000"/>
                <w:szCs w:val="21"/>
              </w:rPr>
              <w:t>序号</w:t>
            </w:r>
          </w:p>
        </w:tc>
        <w:tc>
          <w:tcPr>
            <w:tcW w:w="2859" w:type="dxa"/>
            <w:vMerge w:val="restart"/>
            <w:vAlign w:val="center"/>
          </w:tcPr>
          <w:p w14:paraId="099133DA">
            <w:pPr>
              <w:adjustRightInd w:val="0"/>
              <w:snapToGrid w:val="0"/>
              <w:jc w:val="center"/>
              <w:rPr>
                <w:b/>
                <w:bCs/>
                <w:color w:val="000000"/>
                <w:szCs w:val="21"/>
              </w:rPr>
            </w:pPr>
            <w:r>
              <w:rPr>
                <w:b/>
                <w:bCs/>
                <w:color w:val="000000"/>
                <w:szCs w:val="21"/>
              </w:rPr>
              <w:t>课程名称</w:t>
            </w:r>
          </w:p>
        </w:tc>
        <w:tc>
          <w:tcPr>
            <w:tcW w:w="425" w:type="dxa"/>
            <w:vMerge w:val="restart"/>
            <w:vAlign w:val="center"/>
          </w:tcPr>
          <w:p w14:paraId="227EE7C5">
            <w:pPr>
              <w:adjustRightInd w:val="0"/>
              <w:snapToGrid w:val="0"/>
              <w:jc w:val="center"/>
              <w:rPr>
                <w:b/>
                <w:bCs/>
                <w:color w:val="000000"/>
                <w:szCs w:val="21"/>
              </w:rPr>
            </w:pPr>
            <w:r>
              <w:rPr>
                <w:b/>
                <w:bCs/>
                <w:color w:val="000000"/>
                <w:szCs w:val="21"/>
              </w:rPr>
              <w:t>学分</w:t>
            </w:r>
          </w:p>
        </w:tc>
        <w:tc>
          <w:tcPr>
            <w:tcW w:w="1134" w:type="dxa"/>
            <w:vMerge w:val="restart"/>
            <w:vAlign w:val="center"/>
          </w:tcPr>
          <w:p w14:paraId="798E4588">
            <w:pPr>
              <w:adjustRightInd w:val="0"/>
              <w:snapToGrid w:val="0"/>
              <w:jc w:val="center"/>
              <w:rPr>
                <w:b/>
                <w:bCs/>
                <w:color w:val="000000"/>
                <w:szCs w:val="21"/>
              </w:rPr>
            </w:pPr>
            <w:r>
              <w:rPr>
                <w:rFonts w:hint="eastAsia"/>
                <w:b/>
                <w:bCs/>
                <w:color w:val="000000"/>
                <w:szCs w:val="21"/>
              </w:rPr>
              <w:t>课程性质</w:t>
            </w:r>
          </w:p>
        </w:tc>
        <w:tc>
          <w:tcPr>
            <w:tcW w:w="850" w:type="dxa"/>
            <w:vMerge w:val="restart"/>
            <w:vAlign w:val="center"/>
          </w:tcPr>
          <w:p w14:paraId="620E71DC">
            <w:pPr>
              <w:adjustRightInd w:val="0"/>
              <w:snapToGrid w:val="0"/>
              <w:jc w:val="center"/>
              <w:rPr>
                <w:b/>
                <w:bCs/>
                <w:color w:val="000000"/>
                <w:szCs w:val="21"/>
              </w:rPr>
            </w:pPr>
            <w:r>
              <w:rPr>
                <w:b/>
                <w:bCs/>
                <w:color w:val="000000"/>
                <w:szCs w:val="21"/>
              </w:rPr>
              <w:t>总学时</w:t>
            </w:r>
          </w:p>
        </w:tc>
        <w:tc>
          <w:tcPr>
            <w:tcW w:w="2669" w:type="dxa"/>
            <w:gridSpan w:val="4"/>
            <w:vAlign w:val="center"/>
          </w:tcPr>
          <w:p w14:paraId="5F32DDB6">
            <w:pPr>
              <w:adjustRightInd w:val="0"/>
              <w:snapToGrid w:val="0"/>
              <w:jc w:val="center"/>
              <w:rPr>
                <w:b/>
                <w:bCs/>
                <w:color w:val="000000"/>
                <w:szCs w:val="21"/>
              </w:rPr>
            </w:pPr>
            <w:r>
              <w:rPr>
                <w:b/>
                <w:bCs/>
                <w:color w:val="000000"/>
                <w:szCs w:val="21"/>
              </w:rPr>
              <w:t>学时分配</w:t>
            </w:r>
          </w:p>
        </w:tc>
        <w:tc>
          <w:tcPr>
            <w:tcW w:w="0" w:type="auto"/>
            <w:vMerge w:val="restart"/>
            <w:vAlign w:val="center"/>
          </w:tcPr>
          <w:p w14:paraId="3D707253">
            <w:pPr>
              <w:adjustRightInd w:val="0"/>
              <w:snapToGrid w:val="0"/>
              <w:jc w:val="center"/>
              <w:rPr>
                <w:b/>
                <w:bCs/>
                <w:color w:val="000000"/>
                <w:szCs w:val="21"/>
              </w:rPr>
            </w:pPr>
            <w:r>
              <w:rPr>
                <w:b/>
                <w:bCs/>
                <w:color w:val="000000"/>
                <w:szCs w:val="21"/>
              </w:rPr>
              <w:t>开课学期</w:t>
            </w:r>
          </w:p>
        </w:tc>
      </w:tr>
      <w:tr w14:paraId="0C0FAA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44" w:hRule="atLeast"/>
          <w:jc w:val="center"/>
        </w:trPr>
        <w:tc>
          <w:tcPr>
            <w:tcW w:w="0" w:type="auto"/>
            <w:vMerge w:val="continue"/>
            <w:vAlign w:val="center"/>
          </w:tcPr>
          <w:p w14:paraId="00C08A93">
            <w:pPr>
              <w:widowControl/>
              <w:adjustRightInd w:val="0"/>
              <w:snapToGrid w:val="0"/>
              <w:jc w:val="center"/>
              <w:rPr>
                <w:b/>
                <w:bCs/>
                <w:color w:val="000000"/>
                <w:szCs w:val="21"/>
              </w:rPr>
            </w:pPr>
          </w:p>
        </w:tc>
        <w:tc>
          <w:tcPr>
            <w:tcW w:w="2859" w:type="dxa"/>
            <w:vMerge w:val="continue"/>
            <w:vAlign w:val="center"/>
          </w:tcPr>
          <w:p w14:paraId="7590D9BA">
            <w:pPr>
              <w:widowControl/>
              <w:adjustRightInd w:val="0"/>
              <w:snapToGrid w:val="0"/>
              <w:jc w:val="center"/>
              <w:rPr>
                <w:b/>
                <w:bCs/>
                <w:color w:val="000000"/>
                <w:szCs w:val="21"/>
              </w:rPr>
            </w:pPr>
          </w:p>
        </w:tc>
        <w:tc>
          <w:tcPr>
            <w:tcW w:w="425" w:type="dxa"/>
            <w:vMerge w:val="continue"/>
            <w:vAlign w:val="center"/>
          </w:tcPr>
          <w:p w14:paraId="50FDBAD8">
            <w:pPr>
              <w:widowControl/>
              <w:adjustRightInd w:val="0"/>
              <w:snapToGrid w:val="0"/>
              <w:jc w:val="center"/>
              <w:rPr>
                <w:b/>
                <w:bCs/>
                <w:color w:val="000000"/>
                <w:szCs w:val="21"/>
              </w:rPr>
            </w:pPr>
          </w:p>
        </w:tc>
        <w:tc>
          <w:tcPr>
            <w:tcW w:w="1134" w:type="dxa"/>
            <w:vMerge w:val="continue"/>
          </w:tcPr>
          <w:p w14:paraId="30F5C2AB">
            <w:pPr>
              <w:widowControl/>
              <w:adjustRightInd w:val="0"/>
              <w:snapToGrid w:val="0"/>
              <w:jc w:val="center"/>
              <w:rPr>
                <w:b/>
                <w:bCs/>
                <w:color w:val="000000"/>
                <w:szCs w:val="21"/>
              </w:rPr>
            </w:pPr>
          </w:p>
        </w:tc>
        <w:tc>
          <w:tcPr>
            <w:tcW w:w="850" w:type="dxa"/>
            <w:vMerge w:val="continue"/>
            <w:vAlign w:val="center"/>
          </w:tcPr>
          <w:p w14:paraId="5F39D790">
            <w:pPr>
              <w:widowControl/>
              <w:adjustRightInd w:val="0"/>
              <w:snapToGrid w:val="0"/>
              <w:jc w:val="center"/>
              <w:rPr>
                <w:b/>
                <w:bCs/>
                <w:color w:val="000000"/>
                <w:szCs w:val="21"/>
              </w:rPr>
            </w:pPr>
          </w:p>
        </w:tc>
        <w:tc>
          <w:tcPr>
            <w:tcW w:w="567" w:type="dxa"/>
            <w:vAlign w:val="center"/>
          </w:tcPr>
          <w:p w14:paraId="490F870E">
            <w:pPr>
              <w:widowControl/>
              <w:adjustRightInd w:val="0"/>
              <w:snapToGrid w:val="0"/>
              <w:jc w:val="center"/>
              <w:rPr>
                <w:b/>
                <w:bCs/>
                <w:color w:val="000000"/>
                <w:szCs w:val="21"/>
              </w:rPr>
            </w:pPr>
            <w:r>
              <w:rPr>
                <w:b/>
                <w:bCs/>
                <w:color w:val="000000"/>
                <w:szCs w:val="21"/>
              </w:rPr>
              <w:t>理论学时</w:t>
            </w:r>
          </w:p>
        </w:tc>
        <w:tc>
          <w:tcPr>
            <w:tcW w:w="709" w:type="dxa"/>
            <w:vAlign w:val="center"/>
          </w:tcPr>
          <w:p w14:paraId="73BCF275">
            <w:pPr>
              <w:widowControl/>
              <w:adjustRightInd w:val="0"/>
              <w:snapToGrid w:val="0"/>
              <w:jc w:val="center"/>
              <w:rPr>
                <w:b/>
                <w:bCs/>
                <w:color w:val="000000"/>
                <w:szCs w:val="21"/>
              </w:rPr>
            </w:pPr>
            <w:r>
              <w:rPr>
                <w:b/>
                <w:bCs/>
                <w:color w:val="000000"/>
                <w:szCs w:val="21"/>
              </w:rPr>
              <w:t>实践学时</w:t>
            </w:r>
          </w:p>
        </w:tc>
        <w:tc>
          <w:tcPr>
            <w:tcW w:w="658" w:type="dxa"/>
            <w:vAlign w:val="center"/>
          </w:tcPr>
          <w:p w14:paraId="32AE728F">
            <w:pPr>
              <w:widowControl/>
              <w:adjustRightInd w:val="0"/>
              <w:snapToGrid w:val="0"/>
              <w:jc w:val="center"/>
              <w:rPr>
                <w:b/>
                <w:bCs/>
                <w:color w:val="000000"/>
                <w:szCs w:val="21"/>
              </w:rPr>
            </w:pPr>
            <w:r>
              <w:rPr>
                <w:b/>
                <w:bCs/>
                <w:color w:val="000000"/>
                <w:szCs w:val="21"/>
              </w:rPr>
              <w:t>线上学时</w:t>
            </w:r>
          </w:p>
        </w:tc>
        <w:tc>
          <w:tcPr>
            <w:tcW w:w="735" w:type="dxa"/>
            <w:vAlign w:val="center"/>
          </w:tcPr>
          <w:p w14:paraId="696D9BC2">
            <w:pPr>
              <w:widowControl/>
              <w:adjustRightInd w:val="0"/>
              <w:snapToGrid w:val="0"/>
              <w:jc w:val="center"/>
              <w:rPr>
                <w:b/>
                <w:bCs/>
                <w:color w:val="000000"/>
                <w:szCs w:val="21"/>
              </w:rPr>
            </w:pPr>
            <w:r>
              <w:rPr>
                <w:b/>
                <w:bCs/>
                <w:color w:val="000000"/>
                <w:szCs w:val="21"/>
              </w:rPr>
              <w:t>线下学时</w:t>
            </w:r>
          </w:p>
        </w:tc>
        <w:tc>
          <w:tcPr>
            <w:tcW w:w="0" w:type="auto"/>
            <w:vMerge w:val="continue"/>
            <w:vAlign w:val="center"/>
          </w:tcPr>
          <w:p w14:paraId="2CFD4A14">
            <w:pPr>
              <w:widowControl/>
              <w:adjustRightInd w:val="0"/>
              <w:snapToGrid w:val="0"/>
              <w:jc w:val="center"/>
              <w:rPr>
                <w:b/>
                <w:bCs/>
                <w:color w:val="000000"/>
                <w:szCs w:val="21"/>
              </w:rPr>
            </w:pPr>
          </w:p>
        </w:tc>
      </w:tr>
      <w:tr w14:paraId="4BF189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18" w:hRule="atLeast"/>
          <w:jc w:val="center"/>
        </w:trPr>
        <w:tc>
          <w:tcPr>
            <w:tcW w:w="0" w:type="auto"/>
            <w:vAlign w:val="center"/>
          </w:tcPr>
          <w:p w14:paraId="501168EE">
            <w:pPr>
              <w:adjustRightInd w:val="0"/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1</w:t>
            </w:r>
          </w:p>
        </w:tc>
        <w:tc>
          <w:tcPr>
            <w:tcW w:w="2859" w:type="dxa"/>
            <w:vAlign w:val="center"/>
          </w:tcPr>
          <w:p w14:paraId="46F36421">
            <w:pPr>
              <w:adjustRightInd w:val="0"/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鸿蒙智能传感系统导论</w:t>
            </w:r>
          </w:p>
        </w:tc>
        <w:tc>
          <w:tcPr>
            <w:tcW w:w="425" w:type="dxa"/>
            <w:vAlign w:val="center"/>
          </w:tcPr>
          <w:p w14:paraId="02550E86">
            <w:pPr>
              <w:adjustRightInd w:val="0"/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</w:t>
            </w:r>
          </w:p>
        </w:tc>
        <w:tc>
          <w:tcPr>
            <w:tcW w:w="1134" w:type="dxa"/>
          </w:tcPr>
          <w:p w14:paraId="141AD791">
            <w:pPr>
              <w:adjustRightInd w:val="0"/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专业基础</w:t>
            </w:r>
          </w:p>
        </w:tc>
        <w:tc>
          <w:tcPr>
            <w:tcW w:w="850" w:type="dxa"/>
            <w:vAlign w:val="center"/>
          </w:tcPr>
          <w:p w14:paraId="64CC8196">
            <w:pPr>
              <w:adjustRightInd w:val="0"/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16</w:t>
            </w:r>
          </w:p>
        </w:tc>
        <w:tc>
          <w:tcPr>
            <w:tcW w:w="567" w:type="dxa"/>
            <w:vAlign w:val="center"/>
          </w:tcPr>
          <w:p w14:paraId="149432E8">
            <w:pPr>
              <w:adjustRightInd w:val="0"/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16</w:t>
            </w:r>
          </w:p>
        </w:tc>
        <w:tc>
          <w:tcPr>
            <w:tcW w:w="709" w:type="dxa"/>
            <w:vAlign w:val="center"/>
          </w:tcPr>
          <w:p w14:paraId="1471B8D6">
            <w:pPr>
              <w:adjustRightInd w:val="0"/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0</w:t>
            </w:r>
          </w:p>
        </w:tc>
        <w:tc>
          <w:tcPr>
            <w:tcW w:w="658" w:type="dxa"/>
            <w:vAlign w:val="center"/>
          </w:tcPr>
          <w:p w14:paraId="69CCB950">
            <w:pPr>
              <w:adjustRightInd w:val="0"/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12</w:t>
            </w:r>
          </w:p>
        </w:tc>
        <w:tc>
          <w:tcPr>
            <w:tcW w:w="735" w:type="dxa"/>
            <w:vAlign w:val="center"/>
          </w:tcPr>
          <w:p w14:paraId="6DEE2E84">
            <w:pPr>
              <w:adjustRightInd w:val="0"/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4</w:t>
            </w:r>
          </w:p>
        </w:tc>
        <w:tc>
          <w:tcPr>
            <w:tcW w:w="0" w:type="auto"/>
            <w:vAlign w:val="center"/>
          </w:tcPr>
          <w:p w14:paraId="657B72D7">
            <w:pPr>
              <w:adjustRightInd w:val="0"/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1</w:t>
            </w:r>
          </w:p>
        </w:tc>
      </w:tr>
      <w:tr w14:paraId="275A05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18" w:hRule="atLeast"/>
          <w:jc w:val="center"/>
        </w:trPr>
        <w:tc>
          <w:tcPr>
            <w:tcW w:w="0" w:type="auto"/>
            <w:vAlign w:val="center"/>
          </w:tcPr>
          <w:p w14:paraId="0C3DACCB">
            <w:pPr>
              <w:adjustRightInd w:val="0"/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2</w:t>
            </w:r>
          </w:p>
        </w:tc>
        <w:tc>
          <w:tcPr>
            <w:tcW w:w="2859" w:type="dxa"/>
            <w:vAlign w:val="center"/>
          </w:tcPr>
          <w:p w14:paraId="351AA3C4">
            <w:pPr>
              <w:adjustRightInd w:val="0"/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鸿蒙操作系统与北向开发</w:t>
            </w:r>
          </w:p>
        </w:tc>
        <w:tc>
          <w:tcPr>
            <w:tcW w:w="425" w:type="dxa"/>
            <w:vAlign w:val="center"/>
          </w:tcPr>
          <w:p w14:paraId="5A095CA2">
            <w:pPr>
              <w:adjustRightInd w:val="0"/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3</w:t>
            </w:r>
          </w:p>
        </w:tc>
        <w:tc>
          <w:tcPr>
            <w:tcW w:w="1134" w:type="dxa"/>
          </w:tcPr>
          <w:p w14:paraId="3433A92A">
            <w:pPr>
              <w:adjustRightInd w:val="0"/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专业必修</w:t>
            </w:r>
          </w:p>
        </w:tc>
        <w:tc>
          <w:tcPr>
            <w:tcW w:w="850" w:type="dxa"/>
            <w:vAlign w:val="center"/>
          </w:tcPr>
          <w:p w14:paraId="3CED82D4">
            <w:pPr>
              <w:adjustRightInd w:val="0"/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48</w:t>
            </w:r>
          </w:p>
        </w:tc>
        <w:tc>
          <w:tcPr>
            <w:tcW w:w="567" w:type="dxa"/>
            <w:vAlign w:val="center"/>
          </w:tcPr>
          <w:p w14:paraId="7EC0DF4C">
            <w:pPr>
              <w:adjustRightInd w:val="0"/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24</w:t>
            </w:r>
          </w:p>
        </w:tc>
        <w:tc>
          <w:tcPr>
            <w:tcW w:w="709" w:type="dxa"/>
            <w:vAlign w:val="center"/>
          </w:tcPr>
          <w:p w14:paraId="4843501C">
            <w:pPr>
              <w:adjustRightInd w:val="0"/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24</w:t>
            </w:r>
          </w:p>
        </w:tc>
        <w:tc>
          <w:tcPr>
            <w:tcW w:w="658" w:type="dxa"/>
            <w:vAlign w:val="center"/>
          </w:tcPr>
          <w:p w14:paraId="5965126B">
            <w:pPr>
              <w:adjustRightInd w:val="0"/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0</w:t>
            </w:r>
          </w:p>
        </w:tc>
        <w:tc>
          <w:tcPr>
            <w:tcW w:w="735" w:type="dxa"/>
            <w:vAlign w:val="center"/>
          </w:tcPr>
          <w:p w14:paraId="15808151">
            <w:pPr>
              <w:adjustRightInd w:val="0"/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48</w:t>
            </w:r>
          </w:p>
        </w:tc>
        <w:tc>
          <w:tcPr>
            <w:tcW w:w="0" w:type="auto"/>
            <w:vAlign w:val="center"/>
          </w:tcPr>
          <w:p w14:paraId="7DEDD039">
            <w:pPr>
              <w:adjustRightInd w:val="0"/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1</w:t>
            </w:r>
          </w:p>
        </w:tc>
      </w:tr>
      <w:tr w14:paraId="67083A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18" w:hRule="atLeast"/>
          <w:jc w:val="center"/>
        </w:trPr>
        <w:tc>
          <w:tcPr>
            <w:tcW w:w="0" w:type="auto"/>
            <w:vAlign w:val="center"/>
          </w:tcPr>
          <w:p w14:paraId="4399B2EA">
            <w:pPr>
              <w:adjustRightInd w:val="0"/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3</w:t>
            </w:r>
          </w:p>
        </w:tc>
        <w:tc>
          <w:tcPr>
            <w:tcW w:w="2859" w:type="dxa"/>
            <w:vAlign w:val="center"/>
          </w:tcPr>
          <w:p w14:paraId="7A71A3C1">
            <w:pPr>
              <w:adjustRightInd w:val="0"/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鸿蒙南向应用技术开发</w:t>
            </w:r>
          </w:p>
        </w:tc>
        <w:tc>
          <w:tcPr>
            <w:tcW w:w="425" w:type="dxa"/>
            <w:vAlign w:val="center"/>
          </w:tcPr>
          <w:p w14:paraId="74A420C4">
            <w:pPr>
              <w:adjustRightInd w:val="0"/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3</w:t>
            </w:r>
          </w:p>
        </w:tc>
        <w:tc>
          <w:tcPr>
            <w:tcW w:w="1134" w:type="dxa"/>
          </w:tcPr>
          <w:p w14:paraId="5789F092">
            <w:pPr>
              <w:adjustRightInd w:val="0"/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专业必修</w:t>
            </w:r>
          </w:p>
        </w:tc>
        <w:tc>
          <w:tcPr>
            <w:tcW w:w="850" w:type="dxa"/>
            <w:vAlign w:val="center"/>
          </w:tcPr>
          <w:p w14:paraId="61DEE422">
            <w:pPr>
              <w:adjustRightInd w:val="0"/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48</w:t>
            </w:r>
          </w:p>
        </w:tc>
        <w:tc>
          <w:tcPr>
            <w:tcW w:w="567" w:type="dxa"/>
            <w:vAlign w:val="center"/>
          </w:tcPr>
          <w:p w14:paraId="3EE2D70D">
            <w:pPr>
              <w:adjustRightInd w:val="0"/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16</w:t>
            </w:r>
          </w:p>
        </w:tc>
        <w:tc>
          <w:tcPr>
            <w:tcW w:w="709" w:type="dxa"/>
            <w:vAlign w:val="center"/>
          </w:tcPr>
          <w:p w14:paraId="1F60DA60">
            <w:pPr>
              <w:adjustRightInd w:val="0"/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32</w:t>
            </w:r>
          </w:p>
        </w:tc>
        <w:tc>
          <w:tcPr>
            <w:tcW w:w="658" w:type="dxa"/>
            <w:vAlign w:val="center"/>
          </w:tcPr>
          <w:p w14:paraId="61A667BE">
            <w:pPr>
              <w:adjustRightInd w:val="0"/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0</w:t>
            </w:r>
          </w:p>
        </w:tc>
        <w:tc>
          <w:tcPr>
            <w:tcW w:w="735" w:type="dxa"/>
            <w:vAlign w:val="center"/>
          </w:tcPr>
          <w:p w14:paraId="47E6E02E">
            <w:pPr>
              <w:adjustRightInd w:val="0"/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48</w:t>
            </w:r>
          </w:p>
        </w:tc>
        <w:tc>
          <w:tcPr>
            <w:tcW w:w="0" w:type="auto"/>
            <w:vAlign w:val="center"/>
          </w:tcPr>
          <w:p w14:paraId="7F331DB9">
            <w:pPr>
              <w:adjustRightInd w:val="0"/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1</w:t>
            </w:r>
          </w:p>
        </w:tc>
      </w:tr>
      <w:tr w14:paraId="7C7C02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18" w:hRule="atLeast"/>
          <w:jc w:val="center"/>
        </w:trPr>
        <w:tc>
          <w:tcPr>
            <w:tcW w:w="0" w:type="auto"/>
            <w:vAlign w:val="center"/>
          </w:tcPr>
          <w:p w14:paraId="41B215DC">
            <w:pPr>
              <w:adjustRightInd w:val="0"/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4</w:t>
            </w:r>
          </w:p>
        </w:tc>
        <w:tc>
          <w:tcPr>
            <w:tcW w:w="2859" w:type="dxa"/>
            <w:vAlign w:val="center"/>
          </w:tcPr>
          <w:p w14:paraId="67FD69FE">
            <w:pPr>
              <w:adjustRightInd w:val="0"/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鸿蒙全场景智能车综合实训</w:t>
            </w:r>
          </w:p>
        </w:tc>
        <w:tc>
          <w:tcPr>
            <w:tcW w:w="425" w:type="dxa"/>
            <w:vAlign w:val="center"/>
          </w:tcPr>
          <w:p w14:paraId="7FD823A4">
            <w:pPr>
              <w:adjustRightInd w:val="0"/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2</w:t>
            </w:r>
          </w:p>
        </w:tc>
        <w:tc>
          <w:tcPr>
            <w:tcW w:w="1134" w:type="dxa"/>
          </w:tcPr>
          <w:p w14:paraId="21DC39C6">
            <w:pPr>
              <w:adjustRightInd w:val="0"/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专业实践</w:t>
            </w:r>
          </w:p>
        </w:tc>
        <w:tc>
          <w:tcPr>
            <w:tcW w:w="850" w:type="dxa"/>
            <w:vAlign w:val="center"/>
          </w:tcPr>
          <w:p w14:paraId="18A129B0">
            <w:pPr>
              <w:adjustRightInd w:val="0"/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32</w:t>
            </w:r>
          </w:p>
        </w:tc>
        <w:tc>
          <w:tcPr>
            <w:tcW w:w="567" w:type="dxa"/>
            <w:vAlign w:val="center"/>
          </w:tcPr>
          <w:p w14:paraId="79C906B9">
            <w:pPr>
              <w:adjustRightInd w:val="0"/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0</w:t>
            </w:r>
          </w:p>
        </w:tc>
        <w:tc>
          <w:tcPr>
            <w:tcW w:w="709" w:type="dxa"/>
            <w:vAlign w:val="center"/>
          </w:tcPr>
          <w:p w14:paraId="3013D37B">
            <w:pPr>
              <w:adjustRightInd w:val="0"/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32</w:t>
            </w:r>
          </w:p>
        </w:tc>
        <w:tc>
          <w:tcPr>
            <w:tcW w:w="658" w:type="dxa"/>
            <w:vAlign w:val="center"/>
          </w:tcPr>
          <w:p w14:paraId="03A4DB4C">
            <w:pPr>
              <w:adjustRightInd w:val="0"/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0</w:t>
            </w:r>
          </w:p>
        </w:tc>
        <w:tc>
          <w:tcPr>
            <w:tcW w:w="735" w:type="dxa"/>
            <w:vAlign w:val="center"/>
          </w:tcPr>
          <w:p w14:paraId="667D9C44">
            <w:pPr>
              <w:adjustRightInd w:val="0"/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32</w:t>
            </w:r>
          </w:p>
        </w:tc>
        <w:tc>
          <w:tcPr>
            <w:tcW w:w="0" w:type="auto"/>
            <w:vAlign w:val="center"/>
          </w:tcPr>
          <w:p w14:paraId="7BE0DC9A">
            <w:pPr>
              <w:adjustRightInd w:val="0"/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</w:t>
            </w:r>
          </w:p>
        </w:tc>
      </w:tr>
      <w:tr w14:paraId="678302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18" w:hRule="atLeast"/>
          <w:jc w:val="center"/>
        </w:trPr>
        <w:tc>
          <w:tcPr>
            <w:tcW w:w="0" w:type="auto"/>
            <w:vAlign w:val="center"/>
          </w:tcPr>
          <w:p w14:paraId="3C779F9E">
            <w:pPr>
              <w:adjustRightInd w:val="0"/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5</w:t>
            </w:r>
          </w:p>
        </w:tc>
        <w:tc>
          <w:tcPr>
            <w:tcW w:w="2859" w:type="dxa"/>
            <w:vAlign w:val="center"/>
          </w:tcPr>
          <w:p w14:paraId="54334B23">
            <w:pPr>
              <w:adjustRightInd w:val="0"/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鸿蒙智能传感系统综合实训</w:t>
            </w:r>
          </w:p>
        </w:tc>
        <w:tc>
          <w:tcPr>
            <w:tcW w:w="425" w:type="dxa"/>
            <w:vAlign w:val="center"/>
          </w:tcPr>
          <w:p w14:paraId="4ED65648">
            <w:pPr>
              <w:adjustRightInd w:val="0"/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2</w:t>
            </w:r>
          </w:p>
        </w:tc>
        <w:tc>
          <w:tcPr>
            <w:tcW w:w="1134" w:type="dxa"/>
          </w:tcPr>
          <w:p w14:paraId="0FB8D676">
            <w:pPr>
              <w:adjustRightInd w:val="0"/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专业实践</w:t>
            </w:r>
          </w:p>
        </w:tc>
        <w:tc>
          <w:tcPr>
            <w:tcW w:w="850" w:type="dxa"/>
            <w:vAlign w:val="center"/>
          </w:tcPr>
          <w:p w14:paraId="4108193A">
            <w:pPr>
              <w:adjustRightInd w:val="0"/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32</w:t>
            </w:r>
          </w:p>
        </w:tc>
        <w:tc>
          <w:tcPr>
            <w:tcW w:w="567" w:type="dxa"/>
            <w:vAlign w:val="center"/>
          </w:tcPr>
          <w:p w14:paraId="6EBC8DED">
            <w:pPr>
              <w:adjustRightInd w:val="0"/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0</w:t>
            </w:r>
          </w:p>
        </w:tc>
        <w:tc>
          <w:tcPr>
            <w:tcW w:w="709" w:type="dxa"/>
            <w:vAlign w:val="center"/>
          </w:tcPr>
          <w:p w14:paraId="529D9E5B">
            <w:pPr>
              <w:adjustRightInd w:val="0"/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16</w:t>
            </w:r>
          </w:p>
        </w:tc>
        <w:tc>
          <w:tcPr>
            <w:tcW w:w="658" w:type="dxa"/>
            <w:vAlign w:val="center"/>
          </w:tcPr>
          <w:p w14:paraId="03D0DA36">
            <w:pPr>
              <w:adjustRightInd w:val="0"/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0</w:t>
            </w:r>
          </w:p>
        </w:tc>
        <w:tc>
          <w:tcPr>
            <w:tcW w:w="735" w:type="dxa"/>
            <w:vAlign w:val="center"/>
          </w:tcPr>
          <w:p w14:paraId="7E4FF23A">
            <w:pPr>
              <w:adjustRightInd w:val="0"/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32</w:t>
            </w:r>
          </w:p>
        </w:tc>
        <w:tc>
          <w:tcPr>
            <w:tcW w:w="0" w:type="auto"/>
            <w:vAlign w:val="center"/>
          </w:tcPr>
          <w:p w14:paraId="5C0C8624">
            <w:pPr>
              <w:adjustRightInd w:val="0"/>
              <w:snapToGrid w:val="0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2</w:t>
            </w:r>
          </w:p>
        </w:tc>
      </w:tr>
    </w:tbl>
    <w:p w14:paraId="28095F8A">
      <w:pPr>
        <w:pStyle w:val="3"/>
        <w:rPr>
          <w:rFonts w:hint="eastAsia" w:ascii="黑体"/>
          <w:sz w:val="20"/>
        </w:rPr>
      </w:pPr>
      <w:r>
        <w:rPr>
          <w:rFonts w:hint="eastAsia" w:ascii="黑体"/>
          <w:sz w:val="20"/>
        </w:rPr>
        <w:t>注：课程间逻辑关系如下图所示。</w:t>
      </w:r>
    </w:p>
    <w:p w14:paraId="388E7653">
      <w:pPr>
        <w:pStyle w:val="3"/>
        <w:rPr>
          <w:rFonts w:hint="eastAsia" w:ascii="黑体"/>
          <w:sz w:val="20"/>
        </w:rPr>
      </w:pPr>
    </w:p>
    <w:p w14:paraId="74D555C3">
      <w:pPr>
        <w:pStyle w:val="3"/>
        <w:rPr>
          <w:rFonts w:hint="eastAsia" w:ascii="黑体"/>
          <w:sz w:val="20"/>
        </w:rPr>
      </w:pPr>
    </w:p>
    <w:p w14:paraId="0AA304AE">
      <w:pPr>
        <w:pStyle w:val="3"/>
        <w:spacing w:before="4"/>
        <w:jc w:val="center"/>
        <w:rPr>
          <w:rFonts w:ascii="黑体"/>
          <w:b/>
          <w:sz w:val="18"/>
        </w:rPr>
      </w:pPr>
      <w:r>
        <w:rPr>
          <w:color w:val="000000"/>
        </w:rPr>
        <w:drawing>
          <wp:inline distT="0" distB="0" distL="0" distR="0">
            <wp:extent cx="5128260" cy="2606675"/>
            <wp:effectExtent l="0" t="0" r="15240" b="317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128260" cy="26066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7559D84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ind w:left="0" w:leftChars="0" w:firstLine="0" w:firstLineChars="0"/>
        <w:jc w:val="both"/>
        <w:textAlignment w:val="auto"/>
        <w:rPr>
          <w:rFonts w:hint="eastAsia" w:ascii="方正黑体_GBK" w:hAnsi="方正黑体_GBK" w:eastAsia="方正黑体_GBK" w:cs="方正黑体_GBK"/>
          <w:w w:val="95"/>
          <w:sz w:val="30"/>
          <w:szCs w:val="30"/>
        </w:rPr>
      </w:pPr>
    </w:p>
    <w:p w14:paraId="2AF74EFE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ind w:left="0" w:leftChars="0" w:firstLine="572" w:firstLineChars="200"/>
        <w:jc w:val="both"/>
        <w:textAlignment w:val="auto"/>
        <w:rPr>
          <w:rFonts w:hint="eastAsia" w:ascii="方正黑体_GBK" w:hAnsi="方正黑体_GBK" w:eastAsia="方正黑体_GBK" w:cs="方正黑体_GBK"/>
          <w:w w:val="95"/>
          <w:sz w:val="30"/>
          <w:szCs w:val="30"/>
        </w:rPr>
      </w:pPr>
      <w:r>
        <w:rPr>
          <w:rFonts w:hint="eastAsia" w:ascii="方正黑体_GBK" w:hAnsi="方正黑体_GBK" w:eastAsia="方正黑体_GBK" w:cs="方正黑体_GBK"/>
          <w:w w:val="95"/>
          <w:sz w:val="30"/>
          <w:szCs w:val="30"/>
        </w:rPr>
        <w:t>九、微专业相关前期学生成果</w:t>
      </w:r>
    </w:p>
    <w:p w14:paraId="6C9E408F">
      <w:pPr>
        <w:spacing w:before="155"/>
        <w:jc w:val="center"/>
        <w:rPr>
          <w:rFonts w:ascii="Times New Roman" w:hAnsi="Times New Roman"/>
          <w:spacing w:val="-2"/>
          <w:sz w:val="24"/>
          <w:szCs w:val="24"/>
        </w:rPr>
      </w:pPr>
      <w:r>
        <w:drawing>
          <wp:inline distT="0" distB="0" distL="0" distR="0">
            <wp:extent cx="2674620" cy="3564255"/>
            <wp:effectExtent l="0" t="6668" r="4763" b="4762"/>
            <wp:docPr id="3" name="图片 2" descr="类别一，第8条：华为ICT全球赛特等奖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 descr="类别一，第8条：华为ICT全球赛特等奖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2682112" cy="3574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1FA96F">
      <w:pPr>
        <w:spacing w:before="155"/>
        <w:jc w:val="center"/>
        <w:rPr>
          <w:rFonts w:hint="eastAsia" w:ascii="方正仿宋_GBK" w:hAnsi="方正仿宋_GBK" w:eastAsia="方正仿宋_GBK" w:cs="方正仿宋_GBK"/>
          <w:spacing w:val="-2"/>
          <w:sz w:val="21"/>
          <w:szCs w:val="21"/>
        </w:rPr>
      </w:pPr>
      <w:r>
        <w:rPr>
          <w:rFonts w:hint="eastAsia" w:ascii="方正仿宋_GBK" w:hAnsi="方正仿宋_GBK" w:eastAsia="方正仿宋_GBK" w:cs="方正仿宋_GBK"/>
          <w:spacing w:val="-2"/>
          <w:sz w:val="21"/>
          <w:szCs w:val="21"/>
        </w:rPr>
        <w:t>2022年电信学院学生获得华为ICT大赛全球特等奖</w:t>
      </w:r>
    </w:p>
    <w:p w14:paraId="6FB3C7FC">
      <w:pPr>
        <w:spacing w:before="155"/>
        <w:jc w:val="center"/>
        <w:rPr>
          <w:rFonts w:ascii="Times New Roman" w:hAnsi="Times New Roman"/>
          <w:spacing w:val="-2"/>
          <w:sz w:val="24"/>
          <w:szCs w:val="24"/>
        </w:rPr>
      </w:pPr>
      <w:r>
        <w:rPr>
          <w:rFonts w:ascii="Times New Roman" w:hAnsi="Times New Roman"/>
          <w:spacing w:val="-2"/>
          <w:sz w:val="24"/>
          <w:szCs w:val="24"/>
        </w:rPr>
        <w:drawing>
          <wp:inline distT="0" distB="0" distL="0" distR="0">
            <wp:extent cx="3543300" cy="2190750"/>
            <wp:effectExtent l="0" t="0" r="0" b="0"/>
            <wp:docPr id="6" name="图片 6" descr="C:\Users\杜得荣\Desktop\951d7ff2-268a-445f-922f-26afbe9ab2f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C:\Users\杜得荣\Desktop\951d7ff2-268a-445f-922f-26afbe9ab2f0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544" t="4564" r="2800"/>
                    <a:stretch>
                      <a:fillRect/>
                    </a:stretch>
                  </pic:blipFill>
                  <pic:spPr>
                    <a:xfrm>
                      <a:off x="0" y="0"/>
                      <a:ext cx="3543300" cy="2190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0C0562">
      <w:pPr>
        <w:spacing w:before="155"/>
        <w:jc w:val="center"/>
        <w:rPr>
          <w:rFonts w:hint="eastAsia" w:ascii="方正仿宋_GBK" w:hAnsi="方正仿宋_GBK" w:eastAsia="方正仿宋_GBK" w:cs="方正仿宋_GBK"/>
          <w:spacing w:val="-2"/>
          <w:sz w:val="21"/>
          <w:szCs w:val="21"/>
        </w:rPr>
      </w:pPr>
      <w:r>
        <w:rPr>
          <w:rFonts w:hint="eastAsia" w:ascii="方正仿宋_GBK" w:hAnsi="方正仿宋_GBK" w:eastAsia="方正仿宋_GBK" w:cs="方正仿宋_GBK"/>
          <w:spacing w:val="-2"/>
          <w:sz w:val="21"/>
          <w:szCs w:val="21"/>
        </w:rPr>
        <w:t>202</w:t>
      </w:r>
      <w:r>
        <w:rPr>
          <w:rFonts w:hint="eastAsia" w:ascii="方正仿宋_GBK" w:hAnsi="方正仿宋_GBK" w:eastAsia="方正仿宋_GBK" w:cs="方正仿宋_GBK"/>
          <w:spacing w:val="-2"/>
          <w:sz w:val="21"/>
          <w:szCs w:val="21"/>
          <w:lang w:val="en-US" w:eastAsia="zh-CN"/>
        </w:rPr>
        <w:t>4</w:t>
      </w:r>
      <w:r>
        <w:rPr>
          <w:rFonts w:hint="eastAsia" w:ascii="方正仿宋_GBK" w:hAnsi="方正仿宋_GBK" w:eastAsia="方正仿宋_GBK" w:cs="方正仿宋_GBK"/>
          <w:spacing w:val="-2"/>
          <w:sz w:val="21"/>
          <w:szCs w:val="21"/>
        </w:rPr>
        <w:t>年电信学院</w:t>
      </w:r>
      <w:r>
        <w:rPr>
          <w:rFonts w:hint="eastAsia" w:ascii="方正仿宋_GBK" w:hAnsi="方正仿宋_GBK" w:eastAsia="方正仿宋_GBK" w:cs="方正仿宋_GBK"/>
          <w:spacing w:val="-2"/>
          <w:sz w:val="21"/>
          <w:szCs w:val="21"/>
          <w:lang w:val="en-US" w:eastAsia="zh-CN"/>
        </w:rPr>
        <w:t>56</w:t>
      </w:r>
      <w:r>
        <w:rPr>
          <w:rFonts w:hint="eastAsia" w:ascii="方正仿宋_GBK" w:hAnsi="方正仿宋_GBK" w:eastAsia="方正仿宋_GBK" w:cs="方正仿宋_GBK"/>
          <w:spacing w:val="-2"/>
          <w:sz w:val="21"/>
          <w:szCs w:val="21"/>
        </w:rPr>
        <w:t>名同学通过华为ICT工程师职业认证</w:t>
      </w:r>
    </w:p>
    <w:p w14:paraId="6B375DBC">
      <w:pPr>
        <w:spacing w:before="155"/>
        <w:jc w:val="both"/>
        <w:rPr>
          <w:rFonts w:ascii="Times New Roman" w:hAnsi="Times New Roman"/>
          <w:spacing w:val="-2"/>
          <w:sz w:val="24"/>
          <w:szCs w:val="24"/>
        </w:rPr>
      </w:pPr>
    </w:p>
    <w:sectPr>
      <w:pgSz w:w="11910" w:h="16840"/>
      <w:pgMar w:top="1500" w:right="1340" w:bottom="280" w:left="158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4"/>
  </w:compat>
  <w:docVars>
    <w:docVar w:name="commondata" w:val="eyJoZGlkIjoiZjk1OGZhNjRlZDliMDY2NDhjM2FhN2U4OTU3N2NkNGIifQ=="/>
  </w:docVars>
  <w:rsids>
    <w:rsidRoot w:val="00425795"/>
    <w:rsid w:val="000C77A4"/>
    <w:rsid w:val="000F7457"/>
    <w:rsid w:val="00101273"/>
    <w:rsid w:val="0010789D"/>
    <w:rsid w:val="0017117D"/>
    <w:rsid w:val="00187DE9"/>
    <w:rsid w:val="001921AD"/>
    <w:rsid w:val="001E3841"/>
    <w:rsid w:val="00202075"/>
    <w:rsid w:val="002101C3"/>
    <w:rsid w:val="00285252"/>
    <w:rsid w:val="002E335A"/>
    <w:rsid w:val="00342CD2"/>
    <w:rsid w:val="00343981"/>
    <w:rsid w:val="00356FE4"/>
    <w:rsid w:val="0037267A"/>
    <w:rsid w:val="003B76A8"/>
    <w:rsid w:val="00406C04"/>
    <w:rsid w:val="00425795"/>
    <w:rsid w:val="00434559"/>
    <w:rsid w:val="0045218F"/>
    <w:rsid w:val="004E3AC2"/>
    <w:rsid w:val="00502328"/>
    <w:rsid w:val="00526AFD"/>
    <w:rsid w:val="00565F7D"/>
    <w:rsid w:val="005A09E3"/>
    <w:rsid w:val="005F6DA5"/>
    <w:rsid w:val="00650310"/>
    <w:rsid w:val="0065358A"/>
    <w:rsid w:val="00666F66"/>
    <w:rsid w:val="006D2A57"/>
    <w:rsid w:val="006F137A"/>
    <w:rsid w:val="00716678"/>
    <w:rsid w:val="007714E2"/>
    <w:rsid w:val="007951C4"/>
    <w:rsid w:val="00807F83"/>
    <w:rsid w:val="00837D0E"/>
    <w:rsid w:val="009079FC"/>
    <w:rsid w:val="00915D8C"/>
    <w:rsid w:val="00930078"/>
    <w:rsid w:val="00937310"/>
    <w:rsid w:val="009A1DBB"/>
    <w:rsid w:val="00B207EB"/>
    <w:rsid w:val="00B62EE6"/>
    <w:rsid w:val="00BE63D7"/>
    <w:rsid w:val="00C44D9A"/>
    <w:rsid w:val="00C66281"/>
    <w:rsid w:val="00C75664"/>
    <w:rsid w:val="00D16D42"/>
    <w:rsid w:val="00EF4EBF"/>
    <w:rsid w:val="00F821CF"/>
    <w:rsid w:val="00FF0E14"/>
    <w:rsid w:val="081F790F"/>
    <w:rsid w:val="0AF124AD"/>
    <w:rsid w:val="0D367D9A"/>
    <w:rsid w:val="164E081E"/>
    <w:rsid w:val="259F1D7B"/>
    <w:rsid w:val="30D17232"/>
    <w:rsid w:val="40C2756A"/>
    <w:rsid w:val="41432EC1"/>
    <w:rsid w:val="4E991A65"/>
    <w:rsid w:val="4F1E6DA8"/>
    <w:rsid w:val="572F197E"/>
    <w:rsid w:val="675A043F"/>
    <w:rsid w:val="786D7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en-US" w:eastAsia="zh-CN" w:bidi="ar-SA"/>
    </w:rPr>
  </w:style>
  <w:style w:type="paragraph" w:styleId="2">
    <w:name w:val="heading 1"/>
    <w:basedOn w:val="1"/>
    <w:qFormat/>
    <w:uiPriority w:val="9"/>
    <w:pPr>
      <w:ind w:left="325"/>
      <w:outlineLvl w:val="0"/>
    </w:pPr>
    <w:rPr>
      <w:rFonts w:ascii="黑体" w:hAnsi="黑体" w:eastAsia="黑体" w:cs="黑体"/>
      <w:b/>
      <w:bCs/>
      <w:sz w:val="24"/>
      <w:szCs w:val="24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1"/>
    <w:rPr>
      <w:sz w:val="24"/>
      <w:szCs w:val="24"/>
    </w:rPr>
  </w:style>
  <w:style w:type="paragraph" w:styleId="4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5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Title"/>
    <w:basedOn w:val="1"/>
    <w:qFormat/>
    <w:uiPriority w:val="10"/>
    <w:pPr>
      <w:spacing w:before="28"/>
      <w:ind w:left="2291" w:right="2532"/>
      <w:jc w:val="center"/>
    </w:pPr>
    <w:rPr>
      <w:rFonts w:ascii="黑体" w:hAnsi="黑体" w:eastAsia="黑体" w:cs="黑体"/>
      <w:sz w:val="32"/>
      <w:szCs w:val="32"/>
    </w:rPr>
  </w:style>
  <w:style w:type="table" w:customStyle="1" w:styleId="9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List Paragraph"/>
    <w:basedOn w:val="1"/>
    <w:qFormat/>
    <w:uiPriority w:val="1"/>
    <w:pPr>
      <w:ind w:left="325" w:right="294" w:firstLine="480"/>
    </w:pPr>
  </w:style>
  <w:style w:type="paragraph" w:customStyle="1" w:styleId="11">
    <w:name w:val="Table Paragraph"/>
    <w:basedOn w:val="1"/>
    <w:qFormat/>
    <w:uiPriority w:val="1"/>
    <w:pPr>
      <w:jc w:val="center"/>
    </w:pPr>
    <w:rPr>
      <w:rFonts w:ascii="Times New Roman" w:hAnsi="Times New Roman" w:eastAsia="Times New Roman" w:cs="Times New Roman"/>
    </w:rPr>
  </w:style>
  <w:style w:type="character" w:customStyle="1" w:styleId="12">
    <w:name w:val="页眉 字符"/>
    <w:basedOn w:val="8"/>
    <w:link w:val="5"/>
    <w:qFormat/>
    <w:uiPriority w:val="99"/>
    <w:rPr>
      <w:rFonts w:ascii="宋体" w:hAnsi="宋体" w:eastAsia="宋体" w:cs="宋体"/>
      <w:sz w:val="18"/>
      <w:szCs w:val="18"/>
    </w:rPr>
  </w:style>
  <w:style w:type="character" w:customStyle="1" w:styleId="13">
    <w:name w:val="页脚 字符"/>
    <w:basedOn w:val="8"/>
    <w:link w:val="4"/>
    <w:qFormat/>
    <w:uiPriority w:val="99"/>
    <w:rPr>
      <w:rFonts w:ascii="宋体" w:hAnsi="宋体" w:eastAsia="宋体" w:cs="宋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1287</Words>
  <Characters>1365</Characters>
  <Lines>19</Lines>
  <Paragraphs>92</Paragraphs>
  <TotalTime>1</TotalTime>
  <ScaleCrop>false</ScaleCrop>
  <LinksUpToDate>false</LinksUpToDate>
  <CharactersWithSpaces>1366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2024-08-30T05:10:00Z</dcterms:created>
  <dc:creator>AA</dc:creator>
  <cp:lastModifiedBy>无心以出岫</cp:lastModifiedBy>
  <dcterms:modified xsi:type="dcterms:W3CDTF">2025-07-12T04:33:04Z</dcterms:modified>
  <dc:title>节目主持艺术辅修专业教学计划</dc:title>
  <cp:revision>50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2024-07-17T00:00:00Z</vt:filetime>
  </property>
  <property fmtid="{D5CDD505-2E9C-101B-9397-08002B2CF9AE}" pid="3" name="Creator">
    <vt:lpwstr>WPS 文字</vt:lpwstr>
  </property>
  <property fmtid="{D5CDD505-2E9C-101B-9397-08002B2CF9AE}" pid="4" name="LastSaved">
    <vt:filetime>2024-08-30T00:00:00Z</vt:filetime>
  </property>
  <property fmtid="{D5CDD505-2E9C-101B-9397-08002B2CF9AE}" pid="5" name="SourceModified">
    <vt:lpwstr>D:20240717161444+08'14'</vt:lpwstr>
  </property>
  <property fmtid="{D5CDD505-2E9C-101B-9397-08002B2CF9AE}" pid="6" name="KSOProductBuildVer">
    <vt:lpwstr>2052-12.1.0.21915</vt:lpwstr>
  </property>
  <property fmtid="{D5CDD505-2E9C-101B-9397-08002B2CF9AE}" pid="7" name="ICV">
    <vt:lpwstr>BE00D114D39F408A9E9E1549922F82D2_13</vt:lpwstr>
  </property>
  <property fmtid="{D5CDD505-2E9C-101B-9397-08002B2CF9AE}" pid="8" name="KSOTemplateDocerSaveRecord">
    <vt:lpwstr>eyJoZGlkIjoiODY3ZGRkZDZmZjVlOTBkZDdmMTE1M2IwYjA4MmE4NTEiLCJ1c2VySWQiOiI1Mjc4OTI0OTAifQ==</vt:lpwstr>
  </property>
</Properties>
</file>